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D1E9" w14:textId="77777777" w:rsidR="00C109D7" w:rsidRPr="00F27265" w:rsidRDefault="00000000" w:rsidP="00C62A23">
      <w:pPr>
        <w:jc w:val="center"/>
        <w:rPr>
          <w:b/>
          <w:bCs/>
          <w:sz w:val="36"/>
          <w:szCs w:val="36"/>
        </w:rPr>
      </w:pPr>
      <w:r w:rsidRPr="00F27265">
        <w:rPr>
          <w:b/>
          <w:bCs/>
          <w:sz w:val="36"/>
          <w:szCs w:val="36"/>
        </w:rPr>
        <w:t>Title of the Article</w:t>
      </w:r>
    </w:p>
    <w:p w14:paraId="78C38041" w14:textId="77777777" w:rsidR="00C109D7" w:rsidRDefault="00000000" w:rsidP="00C62A23">
      <w:pPr>
        <w:jc w:val="center"/>
      </w:pPr>
      <w:r>
        <w:rPr>
          <w:i/>
        </w:rPr>
        <w:t>(Title should be concise and cover the main theme of the article)</w:t>
      </w:r>
    </w:p>
    <w:p w14:paraId="7F1C28AF" w14:textId="4CB82EC7" w:rsidR="00C109D7" w:rsidRPr="00C62A23" w:rsidRDefault="00000000" w:rsidP="00C62A23">
      <w:pPr>
        <w:spacing w:before="240"/>
        <w:jc w:val="center"/>
      </w:pPr>
      <w:r w:rsidRPr="00C62A23">
        <w:t>Author Name Surname</w:t>
      </w:r>
      <w:r w:rsidRPr="00C62A23">
        <w:rPr>
          <w:vertAlign w:val="superscript"/>
        </w:rPr>
        <w:t>1</w:t>
      </w:r>
      <w:r w:rsidR="00F27265" w:rsidRPr="00C62A23">
        <w:rPr>
          <w:vertAlign w:val="superscript"/>
          <w:cs/>
        </w:rPr>
        <w:t>*</w:t>
      </w:r>
      <w:r w:rsidRPr="00C62A23">
        <w:t>, Author Name Surname</w:t>
      </w:r>
      <w:r w:rsidRPr="00C62A23">
        <w:rPr>
          <w:vertAlign w:val="superscript"/>
        </w:rPr>
        <w:t>2</w:t>
      </w:r>
      <w:r w:rsidRPr="00C62A23">
        <w:t>, Author Name Surname</w:t>
      </w:r>
      <w:r w:rsidRPr="00C62A23">
        <w:rPr>
          <w:vertAlign w:val="superscript"/>
        </w:rPr>
        <w:t>3</w:t>
      </w:r>
    </w:p>
    <w:p w14:paraId="20B95DA3" w14:textId="7A6D663B" w:rsidR="002115F2" w:rsidRPr="00C62A23" w:rsidRDefault="002115F2" w:rsidP="00C62A23">
      <w:pPr>
        <w:jc w:val="center"/>
      </w:pPr>
      <w:bookmarkStart w:id="0" w:name="_Hlk218977936"/>
      <w:r w:rsidRPr="00C62A23">
        <w:t>¹ Department/Office,</w:t>
      </w:r>
      <w:r w:rsidR="006D1741" w:rsidRPr="00C62A23">
        <w:rPr>
          <w:rFonts w:cstheme="minorBidi" w:hint="cs"/>
          <w:cs/>
          <w:lang w:bidi="th-TH"/>
        </w:rPr>
        <w:t xml:space="preserve"> </w:t>
      </w:r>
      <w:r w:rsidRPr="00C62A23">
        <w:t>Institution, City/Province Postal Code, Country</w:t>
      </w:r>
    </w:p>
    <w:p w14:paraId="024A0784" w14:textId="77777777" w:rsidR="002115F2" w:rsidRPr="00C62A23" w:rsidRDefault="002115F2" w:rsidP="00C62A23">
      <w:pPr>
        <w:jc w:val="center"/>
      </w:pPr>
      <w:r w:rsidRPr="00C62A23">
        <w:t>² Department/Office, Institution, City/Province Postal Code, Country</w:t>
      </w:r>
    </w:p>
    <w:p w14:paraId="29B8DBC3" w14:textId="77777777" w:rsidR="002115F2" w:rsidRPr="00C62A23" w:rsidRDefault="002115F2" w:rsidP="00C62A23">
      <w:pPr>
        <w:spacing w:after="120"/>
        <w:jc w:val="center"/>
        <w:rPr>
          <w:rFonts w:cstheme="minorBidi"/>
          <w:lang w:bidi="th-TH"/>
        </w:rPr>
      </w:pPr>
      <w:r w:rsidRPr="00C62A23">
        <w:t>³ Department/Office, Institution, City/Province Postal Code, Country</w:t>
      </w:r>
    </w:p>
    <w:bookmarkEnd w:id="0"/>
    <w:p w14:paraId="0CD0BEBA" w14:textId="74EC5654" w:rsidR="00F27265" w:rsidRPr="00C62A23" w:rsidRDefault="00F27265" w:rsidP="00C62A23">
      <w:pPr>
        <w:jc w:val="center"/>
        <w:rPr>
          <w:lang w:bidi="th-TH"/>
        </w:rPr>
      </w:pPr>
      <w:r w:rsidRPr="00C62A23">
        <w:rPr>
          <w:vertAlign w:val="superscript"/>
          <w:cs/>
        </w:rPr>
        <w:t>*</w:t>
      </w:r>
      <w:r w:rsidRPr="00C62A23">
        <w:t xml:space="preserve">Corresponding author E-mail: </w:t>
      </w:r>
      <w:r w:rsidR="00B427CF" w:rsidRPr="00C62A23">
        <w:t>corresponding.author@domain.com</w:t>
      </w:r>
    </w:p>
    <w:p w14:paraId="743055C2" w14:textId="5C9CF786" w:rsidR="00B427CF" w:rsidRPr="00C62A23" w:rsidRDefault="00F27265" w:rsidP="00C62A23">
      <w:pPr>
        <w:spacing w:after="360"/>
        <w:jc w:val="center"/>
      </w:pPr>
      <w:r w:rsidRPr="00C62A23">
        <w:rPr>
          <w:vertAlign w:val="superscript"/>
          <w:cs/>
        </w:rPr>
        <w:t>*</w:t>
      </w:r>
      <w:r w:rsidR="00B427CF" w:rsidRPr="00C62A23">
        <w:t xml:space="preserve">ORCID </w:t>
      </w:r>
      <w:proofErr w:type="spellStart"/>
      <w:r w:rsidR="00B427CF" w:rsidRPr="00C62A23">
        <w:t>iD</w:t>
      </w:r>
      <w:proofErr w:type="spellEnd"/>
      <w:r w:rsidR="00B427CF" w:rsidRPr="00C62A23">
        <w:t xml:space="preserve"> (where available): 0000-0000-0000-0000</w:t>
      </w:r>
    </w:p>
    <w:p w14:paraId="14828958" w14:textId="77777777" w:rsidR="00C109D7" w:rsidRPr="00F27265" w:rsidRDefault="00000000" w:rsidP="00C62A23">
      <w:pPr>
        <w:spacing w:after="240"/>
        <w:jc w:val="center"/>
        <w:rPr>
          <w:b/>
          <w:bCs/>
          <w:sz w:val="32"/>
          <w:szCs w:val="32"/>
        </w:rPr>
      </w:pPr>
      <w:r w:rsidRPr="00F27265">
        <w:rPr>
          <w:b/>
          <w:bCs/>
          <w:sz w:val="32"/>
          <w:szCs w:val="32"/>
        </w:rPr>
        <w:t>Abstract</w:t>
      </w:r>
    </w:p>
    <w:p w14:paraId="6EDBA093" w14:textId="7D14E2B4" w:rsidR="00C109D7" w:rsidRPr="0050783D" w:rsidRDefault="00000000" w:rsidP="00C62A23">
      <w:pPr>
        <w:rPr>
          <w:b/>
          <w:bCs/>
        </w:rPr>
      </w:pPr>
      <w:r w:rsidRPr="0050783D">
        <w:rPr>
          <w:b/>
          <w:bCs/>
        </w:rPr>
        <w:t>(</w:t>
      </w:r>
      <w:r w:rsidR="0050783D" w:rsidRPr="0050783D">
        <w:rPr>
          <w:b/>
          <w:bCs/>
        </w:rPr>
        <w:t>600-800</w:t>
      </w:r>
      <w:r w:rsidRPr="0050783D">
        <w:rPr>
          <w:b/>
          <w:bCs/>
        </w:rPr>
        <w:t xml:space="preserve"> words in total for all sub-topics below)</w:t>
      </w:r>
    </w:p>
    <w:p w14:paraId="7AAC1CA9" w14:textId="77777777" w:rsidR="00C109D7" w:rsidRDefault="00000000" w:rsidP="00C62A23">
      <w:r w:rsidRPr="00F27265">
        <w:rPr>
          <w:b/>
          <w:bCs/>
        </w:rPr>
        <w:t>Background and Objectives:</w:t>
      </w:r>
      <w:r>
        <w:t xml:space="preserve"> Briefly mention the background, rationale, and objectives of the research.</w:t>
      </w:r>
    </w:p>
    <w:p w14:paraId="37D489F0" w14:textId="77777777" w:rsidR="00C109D7" w:rsidRDefault="00000000" w:rsidP="00C62A23">
      <w:r w:rsidRPr="00F27265">
        <w:rPr>
          <w:b/>
          <w:bCs/>
        </w:rPr>
        <w:t>Methodology:</w:t>
      </w:r>
      <w:r>
        <w:t xml:space="preserve"> Briefly describe the data and methods/tools/techniques used in the research.</w:t>
      </w:r>
    </w:p>
    <w:p w14:paraId="369E4392" w14:textId="510B657C" w:rsidR="0050783D" w:rsidRDefault="0050783D" w:rsidP="00C62A23">
      <w:pPr>
        <w:rPr>
          <w:b/>
          <w:bCs/>
        </w:rPr>
      </w:pPr>
      <w:r w:rsidRPr="0050783D">
        <w:rPr>
          <w:b/>
          <w:bCs/>
        </w:rPr>
        <w:t>Key Findings:</w:t>
      </w:r>
      <w:r w:rsidRPr="0050783D">
        <w:t xml:space="preserve"> Summarize the main findings, highlighting new evidence, patterns, or contributions to existing knowledge</w:t>
      </w:r>
      <w:r>
        <w:t>.</w:t>
      </w:r>
    </w:p>
    <w:p w14:paraId="7D87E775" w14:textId="3FB38339" w:rsidR="00C109D7" w:rsidRDefault="00000000" w:rsidP="00C62A23">
      <w:pPr>
        <w:spacing w:after="120"/>
        <w:rPr>
          <w:lang w:bidi="th-TH"/>
        </w:rPr>
      </w:pPr>
      <w:r w:rsidRPr="00F27265">
        <w:rPr>
          <w:b/>
          <w:bCs/>
        </w:rPr>
        <w:t>Policy Implications:</w:t>
      </w:r>
      <w:r>
        <w:t xml:space="preserve"> </w:t>
      </w:r>
      <w:r w:rsidR="0050783D" w:rsidRPr="0050783D">
        <w:t>Explain how the findings inform policy or practical decision-making and identify relevant beneficiaries.</w:t>
      </w:r>
    </w:p>
    <w:p w14:paraId="61C772BB" w14:textId="5B232302" w:rsidR="00C109D7" w:rsidRDefault="00000000" w:rsidP="00C62A23">
      <w:pPr>
        <w:spacing w:after="120"/>
      </w:pPr>
      <w:r w:rsidRPr="00F27265">
        <w:rPr>
          <w:b/>
          <w:bCs/>
        </w:rPr>
        <w:t>Keywords:</w:t>
      </w:r>
      <w:r>
        <w:t xml:space="preserve"> Keyword One; Keyword Two; Keyword Three (</w:t>
      </w:r>
      <w:r w:rsidR="00E9321C" w:rsidRPr="00E9321C">
        <w:t>3–5 Keywords; Capitalize Each Keyword</w:t>
      </w:r>
      <w:r>
        <w:t>)</w:t>
      </w:r>
    </w:p>
    <w:p w14:paraId="3B895A1C" w14:textId="0E0D3193" w:rsidR="00C109D7" w:rsidRPr="002A41D3" w:rsidRDefault="00B54080" w:rsidP="00C62A23">
      <w:r w:rsidRPr="002A41D3">
        <w:rPr>
          <w:b/>
          <w:bCs/>
        </w:rPr>
        <w:t>JEL Classification</w:t>
      </w:r>
      <w:r w:rsidR="00CB753C">
        <w:rPr>
          <w:b/>
          <w:bCs/>
        </w:rPr>
        <w:t xml:space="preserve"> Codes</w:t>
      </w:r>
      <w:r w:rsidRPr="002A41D3">
        <w:rPr>
          <w:b/>
          <w:bCs/>
        </w:rPr>
        <w:t>:</w:t>
      </w:r>
      <w:r w:rsidRPr="002A41D3">
        <w:t xml:space="preserve"> E00; O10; F10 (3–5 codes)</w:t>
      </w:r>
    </w:p>
    <w:p w14:paraId="1F52A669" w14:textId="77777777" w:rsidR="00C109D7" w:rsidRPr="002A41D3" w:rsidRDefault="00C109D7" w:rsidP="00C62A23"/>
    <w:p w14:paraId="40C6D380" w14:textId="479BAE9E" w:rsidR="00C109D7" w:rsidRPr="00F27265" w:rsidRDefault="00000000" w:rsidP="00C62A23">
      <w:pPr>
        <w:pStyle w:val="Heading1"/>
        <w:rPr>
          <w:lang w:bidi="th-TH"/>
        </w:rPr>
      </w:pPr>
      <w:r w:rsidRPr="00F27265">
        <w:t>Introduction</w:t>
      </w:r>
    </w:p>
    <w:p w14:paraId="48CF99C9" w14:textId="33519D2F" w:rsidR="00C109D7" w:rsidRDefault="00000000" w:rsidP="00C62A23">
      <w:pPr>
        <w:rPr>
          <w:lang w:bidi="th-TH"/>
        </w:rPr>
      </w:pPr>
      <w:r>
        <w:t>Text (Times New Roman, 12 pt).</w:t>
      </w:r>
      <w:r w:rsidR="000E7762" w:rsidRPr="000E7762">
        <w:t xml:space="preserve"> Text </w:t>
      </w:r>
    </w:p>
    <w:p w14:paraId="5F4BA2E9" w14:textId="7728F126" w:rsidR="00C109D7" w:rsidRPr="00723228" w:rsidRDefault="00000000" w:rsidP="00C62A23">
      <w:pPr>
        <w:pStyle w:val="Heading1"/>
        <w:rPr>
          <w:lang w:bidi="th-TH"/>
        </w:rPr>
      </w:pPr>
      <w:r w:rsidRPr="00723228">
        <w:t>Literature Review (</w:t>
      </w:r>
      <w:r w:rsidR="001C10DB" w:rsidRPr="001C10DB">
        <w:t>If Applicable</w:t>
      </w:r>
      <w:r w:rsidRPr="00723228">
        <w:t>)</w:t>
      </w:r>
    </w:p>
    <w:p w14:paraId="73B5BE40" w14:textId="77777777" w:rsidR="00C109D7" w:rsidRDefault="00000000" w:rsidP="00C62A23">
      <w:pPr>
        <w:rPr>
          <w:rFonts w:cstheme="minorBidi"/>
          <w:szCs w:val="30"/>
          <w:lang w:bidi="th-TH"/>
        </w:rPr>
      </w:pPr>
      <w:r>
        <w:t>Text (Times New Roman, 12 pt).</w:t>
      </w:r>
    </w:p>
    <w:p w14:paraId="1492E9E1" w14:textId="6ED42432" w:rsidR="00C109D7" w:rsidRPr="00723228" w:rsidRDefault="00000000" w:rsidP="00C62A23">
      <w:pPr>
        <w:pStyle w:val="Heading1"/>
        <w:rPr>
          <w:lang w:bidi="th-TH"/>
        </w:rPr>
      </w:pPr>
      <w:r w:rsidRPr="00723228">
        <w:lastRenderedPageBreak/>
        <w:t>Conceptual Framework (</w:t>
      </w:r>
      <w:r w:rsidR="001C10DB" w:rsidRPr="001C10DB">
        <w:t>If Applicable</w:t>
      </w:r>
      <w:r w:rsidRPr="00723228">
        <w:t>)</w:t>
      </w:r>
    </w:p>
    <w:p w14:paraId="52434A63" w14:textId="77777777" w:rsidR="00C109D7" w:rsidRDefault="00000000" w:rsidP="00C62A23">
      <w:pPr>
        <w:rPr>
          <w:lang w:bidi="th-TH"/>
        </w:rPr>
      </w:pPr>
      <w:r>
        <w:t>Text (Times New Roman, 12 pt).</w:t>
      </w:r>
    </w:p>
    <w:p w14:paraId="7A898E21" w14:textId="038BB293" w:rsidR="00C109D7" w:rsidRPr="00723228" w:rsidRDefault="00000000" w:rsidP="00C62A23">
      <w:pPr>
        <w:pStyle w:val="Heading1"/>
        <w:rPr>
          <w:lang w:bidi="th-TH"/>
        </w:rPr>
      </w:pPr>
      <w:r w:rsidRPr="00723228">
        <w:t>Methods and Data</w:t>
      </w:r>
    </w:p>
    <w:p w14:paraId="0A1E83D9" w14:textId="77777777" w:rsidR="00C109D7" w:rsidRDefault="00000000" w:rsidP="00C62A23">
      <w:pPr>
        <w:rPr>
          <w:rFonts w:cstheme="minorBidi"/>
          <w:szCs w:val="30"/>
          <w:lang w:bidi="th-TH"/>
        </w:rPr>
      </w:pPr>
      <w:r>
        <w:t>Text (Times New Roman, 12 pt).</w:t>
      </w:r>
    </w:p>
    <w:p w14:paraId="75EDB8F8" w14:textId="77777777" w:rsidR="00230F53" w:rsidRDefault="00230F53" w:rsidP="00C62A23">
      <w:pPr>
        <w:rPr>
          <w:rFonts w:cstheme="minorBidi"/>
          <w:szCs w:val="30"/>
          <w:lang w:bidi="th-TH"/>
        </w:rPr>
      </w:pPr>
    </w:p>
    <w:p w14:paraId="31872297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Mathematical Notation and Equations</w:t>
      </w:r>
    </w:p>
    <w:p w14:paraId="2846D692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</w:p>
    <w:p w14:paraId="40A25F1A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Equations should be prepared using Equation Tools or </w:t>
      </w:r>
      <w:proofErr w:type="spellStart"/>
      <w:r w:rsidRPr="00230F53">
        <w:rPr>
          <w:rFonts w:cstheme="minorBidi"/>
          <w:szCs w:val="30"/>
          <w:lang w:bidi="th-TH"/>
        </w:rPr>
        <w:t>MathType</w:t>
      </w:r>
      <w:proofErr w:type="spellEnd"/>
      <w:r w:rsidRPr="00230F53">
        <w:rPr>
          <w:rFonts w:cstheme="minorBidi"/>
          <w:szCs w:val="30"/>
          <w:lang w:bidi="th-TH"/>
        </w:rPr>
        <w:t>. Fonts and symbols must be clear, consistent, and compatible with the main text. Equations should be centered and numbered consecutively in Arabic numerals when they are referenced in the manuscript.</w:t>
      </w:r>
    </w:p>
    <w:p w14:paraId="30274DE6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</w:p>
    <w:p w14:paraId="6EE44825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Example of an equation</w:t>
      </w:r>
    </w:p>
    <w:p w14:paraId="46B09A3E" w14:textId="1D2CA58A" w:rsidR="00230F53" w:rsidRPr="00230F53" w:rsidRDefault="00000000" w:rsidP="00C62A23">
      <w:pPr>
        <w:spacing w:before="120" w:after="120"/>
        <w:jc w:val="center"/>
        <w:rPr>
          <w:rFonts w:cstheme="minorBidi"/>
          <w:szCs w:val="30"/>
          <w:lang w:bidi="th-TH"/>
        </w:rPr>
      </w:pPr>
      <m:oMath>
        <m:sSup>
          <m:sSupPr>
            <m:ctrlPr>
              <w:rPr>
                <w:rFonts w:ascii="Cambria Math" w:hAnsi="Cambria Math" w:cstheme="minorBidi"/>
                <w:szCs w:val="30"/>
                <w:lang w:bidi="th-TH"/>
              </w:rPr>
            </m:ctrlPr>
          </m:sSupPr>
          <m:e>
            <m:d>
              <m:d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dPr>
              <m:e>
                <m:r>
                  <w:rPr>
                    <w:rFonts w:ascii="Cambria Math" w:hAnsi="Cambria Math" w:cstheme="minorBidi"/>
                    <w:szCs w:val="30"/>
                    <w:lang w:bidi="th-TH"/>
                  </w:rPr>
                  <m:t>x+a</m:t>
                </m:r>
              </m:e>
            </m:d>
          </m:e>
          <m:sup>
            <m:r>
              <w:rPr>
                <w:rFonts w:ascii="Cambria Math" w:hAnsi="Cambria Math" w:cstheme="minorBidi"/>
                <w:szCs w:val="30"/>
                <w:lang w:bidi="th-TH"/>
              </w:rPr>
              <m:t>n</m:t>
            </m:r>
          </m:sup>
        </m:sSup>
        <m:r>
          <w:rPr>
            <w:rFonts w:ascii="Cambria Math" w:eastAsia="Cambria Math" w:hAnsi="Cambria Math" w:cs="Cambria Math"/>
            <w:szCs w:val="30"/>
            <w:lang w:bidi="th-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theme="minorBidi"/>
                <w:szCs w:val="30"/>
                <w:lang w:bidi="th-TH"/>
              </w:rPr>
            </m:ctrlPr>
          </m:naryPr>
          <m:sub>
            <m:r>
              <w:rPr>
                <w:rFonts w:ascii="Cambria Math" w:eastAsia="Cambria Math" w:hAnsi="Cambria Math" w:cs="Cambria Math"/>
                <w:szCs w:val="30"/>
                <w:lang w:bidi="th-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Cs w:val="30"/>
                <w:lang w:bidi="th-TH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theme="minorBidi"/>
                        <w:szCs w:val="30"/>
                        <w:lang w:bidi="th-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Cs w:val="30"/>
                        <w:lang w:bidi="th-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Cs w:val="30"/>
                        <w:lang w:bidi="th-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n-k</m:t>
                </m:r>
              </m:sup>
            </m:sSup>
          </m:e>
        </m:nary>
      </m:oMath>
      <w:r w:rsidR="00230F53" w:rsidRPr="00230F53">
        <w:rPr>
          <w:rFonts w:cstheme="minorBidi"/>
          <w:szCs w:val="30"/>
          <w:lang w:bidi="th-TH"/>
        </w:rPr>
        <w:t xml:space="preserve">Y </w:t>
      </w:r>
      <w:r w:rsidR="00D2553E">
        <w:rPr>
          <w:rFonts w:cstheme="minorBidi" w:hint="cs"/>
          <w:szCs w:val="30"/>
          <w:cs/>
          <w:lang w:bidi="th-TH"/>
        </w:rPr>
        <w:t xml:space="preserve">             </w:t>
      </w:r>
      <w:r w:rsidR="00230F53">
        <w:rPr>
          <w:rFonts w:cstheme="minorBidi" w:hint="cs"/>
          <w:szCs w:val="30"/>
          <w:cs/>
          <w:lang w:bidi="th-TH"/>
        </w:rPr>
        <w:t xml:space="preserve">                 </w:t>
      </w:r>
      <w:proofErr w:type="gramStart"/>
      <w:r w:rsidR="00230F53">
        <w:rPr>
          <w:rFonts w:cstheme="minorBidi" w:hint="cs"/>
          <w:szCs w:val="30"/>
          <w:cs/>
          <w:lang w:bidi="th-TH"/>
        </w:rPr>
        <w:t xml:space="preserve">   </w:t>
      </w:r>
      <w:r w:rsidR="00230F53" w:rsidRPr="00230F53">
        <w:rPr>
          <w:rFonts w:cstheme="minorBidi"/>
          <w:szCs w:val="30"/>
          <w:lang w:bidi="th-TH"/>
        </w:rPr>
        <w:t>(</w:t>
      </w:r>
      <w:proofErr w:type="gramEnd"/>
      <w:r w:rsidR="00230F53" w:rsidRPr="00230F53">
        <w:rPr>
          <w:rFonts w:cs="Cordia New"/>
          <w:szCs w:val="30"/>
          <w:cs/>
          <w:lang w:bidi="th-TH"/>
        </w:rPr>
        <w:t>1)</w:t>
      </w:r>
    </w:p>
    <w:p w14:paraId="32EA7116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proofErr w:type="gramStart"/>
      <w:r w:rsidRPr="00230F53">
        <w:rPr>
          <w:rFonts w:cstheme="minorBidi"/>
          <w:szCs w:val="30"/>
          <w:lang w:bidi="th-TH"/>
        </w:rPr>
        <w:t>where</w:t>
      </w:r>
      <w:proofErr w:type="gramEnd"/>
      <w:r w:rsidRPr="00230F53">
        <w:rPr>
          <w:rFonts w:cstheme="minorBidi"/>
          <w:szCs w:val="30"/>
          <w:lang w:bidi="th-TH"/>
        </w:rPr>
        <w:t xml:space="preserve">  </w:t>
      </w:r>
    </w:p>
    <w:p w14:paraId="670137AF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Y denotes the dependent variable,  </w:t>
      </w:r>
    </w:p>
    <w:p w14:paraId="34C234AA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X represents the independent variable,  </w:t>
      </w:r>
    </w:p>
    <w:p w14:paraId="196B3820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α is the intercept term,  </w:t>
      </w:r>
    </w:p>
    <w:p w14:paraId="4154D959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β is the estimated coefficient, and  </w:t>
      </w:r>
    </w:p>
    <w:p w14:paraId="6F230E3C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ε is the error term.</w:t>
      </w:r>
    </w:p>
    <w:p w14:paraId="2EE60B02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</w:p>
    <w:p w14:paraId="4C368FF2" w14:textId="4A412544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="Cordia New"/>
          <w:szCs w:val="30"/>
          <w:cs/>
          <w:lang w:bidi="th-TH"/>
        </w:rPr>
        <w:t>(</w:t>
      </w:r>
      <w:r w:rsidRPr="00230F53">
        <w:rPr>
          <w:rFonts w:cstheme="minorBidi"/>
          <w:szCs w:val="30"/>
          <w:lang w:bidi="th-TH"/>
        </w:rPr>
        <w:t>Insert equation here. All equations should be centered and numbered consecutively.)</w:t>
      </w:r>
    </w:p>
    <w:p w14:paraId="67F78A8E" w14:textId="04281B7F" w:rsidR="00C109D7" w:rsidRPr="00723228" w:rsidRDefault="00000000" w:rsidP="00C62A23">
      <w:pPr>
        <w:pStyle w:val="Heading1"/>
        <w:rPr>
          <w:lang w:bidi="th-TH"/>
        </w:rPr>
      </w:pPr>
      <w:r w:rsidRPr="00723228">
        <w:t>Results</w:t>
      </w:r>
      <w:r w:rsidR="0050783D">
        <w:t xml:space="preserve"> and Discussion</w:t>
      </w:r>
    </w:p>
    <w:p w14:paraId="1E8B6AB1" w14:textId="77777777" w:rsidR="00C109D7" w:rsidRDefault="00000000" w:rsidP="00C62A23">
      <w:r>
        <w:t>Text (Times New Roman, 12 pt).</w:t>
      </w:r>
    </w:p>
    <w:p w14:paraId="4967B52A" w14:textId="77777777" w:rsidR="00C109D7" w:rsidRDefault="00C109D7" w:rsidP="00C62A23">
      <w:pPr>
        <w:rPr>
          <w:rFonts w:cstheme="minorBidi"/>
          <w:szCs w:val="30"/>
          <w:lang w:bidi="th-TH"/>
        </w:rPr>
      </w:pPr>
    </w:p>
    <w:p w14:paraId="05971441" w14:textId="77777777" w:rsidR="001D55C4" w:rsidRDefault="001D55C4" w:rsidP="00C62A23">
      <w:pPr>
        <w:rPr>
          <w:rFonts w:cstheme="minorBidi"/>
          <w:szCs w:val="30"/>
          <w:lang w:bidi="th-TH"/>
        </w:rPr>
      </w:pPr>
    </w:p>
    <w:p w14:paraId="21967710" w14:textId="77777777" w:rsidR="001D55C4" w:rsidRDefault="001D55C4" w:rsidP="00C62A23">
      <w:pPr>
        <w:rPr>
          <w:rFonts w:cstheme="minorBidi"/>
          <w:szCs w:val="30"/>
          <w:lang w:bidi="th-TH"/>
        </w:rPr>
      </w:pPr>
    </w:p>
    <w:p w14:paraId="6D8192F2" w14:textId="77777777" w:rsidR="001D55C4" w:rsidRDefault="001D55C4" w:rsidP="00C62A23">
      <w:pPr>
        <w:rPr>
          <w:rFonts w:cstheme="minorBidi"/>
          <w:szCs w:val="30"/>
          <w:lang w:bidi="th-TH"/>
        </w:rPr>
      </w:pPr>
    </w:p>
    <w:p w14:paraId="5BF6B944" w14:textId="77777777" w:rsidR="001D55C4" w:rsidRPr="001D55C4" w:rsidRDefault="001D55C4" w:rsidP="00C62A23">
      <w:pPr>
        <w:rPr>
          <w:rFonts w:cstheme="minorBidi"/>
          <w:szCs w:val="30"/>
          <w:lang w:bidi="th-TH"/>
        </w:rPr>
      </w:pPr>
    </w:p>
    <w:p w14:paraId="2A9DDEFB" w14:textId="1DD0D39B" w:rsidR="00C109D7" w:rsidRDefault="00000000" w:rsidP="00C62A23">
      <w:r w:rsidRPr="00F27265">
        <w:rPr>
          <w:b/>
          <w:bCs/>
        </w:rPr>
        <w:lastRenderedPageBreak/>
        <w:t>Table 1.</w:t>
      </w:r>
      <w:r>
        <w:t xml:space="preserve"> </w:t>
      </w:r>
      <w:r w:rsidR="00746031" w:rsidRPr="00746031">
        <w:t>Table Title (Title Case)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6"/>
        <w:gridCol w:w="2766"/>
      </w:tblGrid>
      <w:tr w:rsidR="00C109D7" w14:paraId="268F820A" w14:textId="77777777" w:rsidTr="00F27265">
        <w:tc>
          <w:tcPr>
            <w:tcW w:w="2767" w:type="dxa"/>
          </w:tcPr>
          <w:p w14:paraId="1C345FE4" w14:textId="77777777" w:rsidR="00C109D7" w:rsidRDefault="00000000" w:rsidP="00C62A23">
            <w:r>
              <w:rPr>
                <w:sz w:val="22"/>
              </w:rPr>
              <w:t>Column head</w:t>
            </w:r>
          </w:p>
        </w:tc>
        <w:tc>
          <w:tcPr>
            <w:tcW w:w="2766" w:type="dxa"/>
          </w:tcPr>
          <w:p w14:paraId="204F7ED4" w14:textId="77777777" w:rsidR="00C109D7" w:rsidRDefault="00000000" w:rsidP="00C62A23">
            <w:r>
              <w:rPr>
                <w:sz w:val="22"/>
              </w:rPr>
              <w:t>Column head</w:t>
            </w:r>
          </w:p>
        </w:tc>
        <w:tc>
          <w:tcPr>
            <w:tcW w:w="2766" w:type="dxa"/>
          </w:tcPr>
          <w:p w14:paraId="24C14C0E" w14:textId="77777777" w:rsidR="00C109D7" w:rsidRDefault="00000000" w:rsidP="00C62A23">
            <w:r>
              <w:rPr>
                <w:sz w:val="22"/>
              </w:rPr>
              <w:t>Column head</w:t>
            </w:r>
          </w:p>
        </w:tc>
      </w:tr>
      <w:tr w:rsidR="00C109D7" w14:paraId="7618A5B7" w14:textId="77777777" w:rsidTr="00F27265">
        <w:tc>
          <w:tcPr>
            <w:tcW w:w="2767" w:type="dxa"/>
          </w:tcPr>
          <w:p w14:paraId="6A7C8203" w14:textId="77777777" w:rsidR="00C109D7" w:rsidRDefault="00000000" w:rsidP="00C62A23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459498C3" w14:textId="77777777" w:rsidR="00C109D7" w:rsidRDefault="00000000" w:rsidP="00C62A23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70B54B5A" w14:textId="77777777" w:rsidR="00C109D7" w:rsidRDefault="00000000" w:rsidP="00C62A23">
            <w:r>
              <w:rPr>
                <w:sz w:val="22"/>
              </w:rPr>
              <w:t>Text</w:t>
            </w:r>
          </w:p>
        </w:tc>
      </w:tr>
      <w:tr w:rsidR="00C109D7" w14:paraId="4578F458" w14:textId="77777777" w:rsidTr="00F27265">
        <w:tc>
          <w:tcPr>
            <w:tcW w:w="2767" w:type="dxa"/>
          </w:tcPr>
          <w:p w14:paraId="2A9A5E95" w14:textId="77777777" w:rsidR="00C109D7" w:rsidRDefault="00000000" w:rsidP="00C62A23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7F2B52C4" w14:textId="77777777" w:rsidR="00C109D7" w:rsidRDefault="00000000" w:rsidP="00C62A23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3C1324D6" w14:textId="77777777" w:rsidR="00C109D7" w:rsidRDefault="00000000" w:rsidP="00C62A23">
            <w:r>
              <w:rPr>
                <w:sz w:val="22"/>
              </w:rPr>
              <w:t>Text</w:t>
            </w:r>
          </w:p>
        </w:tc>
      </w:tr>
    </w:tbl>
    <w:p w14:paraId="4C429C33" w14:textId="77777777" w:rsidR="00C109D7" w:rsidRDefault="00000000" w:rsidP="00C62A23">
      <w:r>
        <w:rPr>
          <w:i/>
          <w:sz w:val="22"/>
        </w:rPr>
        <w:t>Source: Author’s calculation based on [dataset/agency], year.</w:t>
      </w:r>
    </w:p>
    <w:p w14:paraId="326F2E44" w14:textId="77777777" w:rsidR="00C109D7" w:rsidRDefault="00000000" w:rsidP="00C62A23">
      <w:pPr>
        <w:rPr>
          <w:rFonts w:cstheme="minorBidi"/>
          <w:i/>
          <w:sz w:val="22"/>
          <w:lang w:bidi="th-TH"/>
        </w:rPr>
      </w:pPr>
      <w:r>
        <w:rPr>
          <w:i/>
          <w:sz w:val="22"/>
        </w:rPr>
        <w:t>Note: (Optional) Define abbreviations, units, significance levels, and estimation details.</w:t>
      </w:r>
    </w:p>
    <w:p w14:paraId="61B384F4" w14:textId="77777777" w:rsidR="00F27265" w:rsidRPr="00F27265" w:rsidRDefault="00F27265" w:rsidP="00C62A23">
      <w:pPr>
        <w:rPr>
          <w:rFonts w:cstheme="minorBidi"/>
          <w:lang w:bidi="th-TH"/>
        </w:rPr>
      </w:pPr>
    </w:p>
    <w:p w14:paraId="1CA5F4F0" w14:textId="45068BC6" w:rsidR="00723228" w:rsidRDefault="00F27265" w:rsidP="00C62A23">
      <w:pPr>
        <w:jc w:val="center"/>
        <w:rPr>
          <w:lang w:bidi="th-TH"/>
        </w:rPr>
      </w:pPr>
      <w:r w:rsidRPr="003867C3">
        <w:rPr>
          <w:rFonts w:eastAsia="MS Mincho" w:cs="Cordia New"/>
          <w:noProof/>
          <w:szCs w:val="28"/>
          <w:lang w:bidi="th-TH"/>
        </w:rPr>
        <w:drawing>
          <wp:inline distT="0" distB="0" distL="0" distR="0" wp14:anchorId="272CF902" wp14:editId="0359968D">
            <wp:extent cx="2656840" cy="857250"/>
            <wp:effectExtent l="0" t="0" r="0" b="0"/>
            <wp:docPr id="646690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EA318" w14:textId="29346383" w:rsidR="00C109D7" w:rsidRDefault="00000000" w:rsidP="00C62A23">
      <w:r w:rsidRPr="00F27265">
        <w:rPr>
          <w:b/>
          <w:bCs/>
        </w:rPr>
        <w:t>Figure 1.</w:t>
      </w:r>
      <w:r>
        <w:t xml:space="preserve"> </w:t>
      </w:r>
      <w:r w:rsidR="00B872D2" w:rsidRPr="00B872D2">
        <w:t>Figure Title (Title Case)</w:t>
      </w:r>
    </w:p>
    <w:p w14:paraId="59D3B8FE" w14:textId="0A908ED4" w:rsidR="00C109D7" w:rsidRDefault="00F27265" w:rsidP="00C62A23">
      <w:r>
        <w:rPr>
          <w:rFonts w:cs="Angsana New"/>
          <w:i/>
          <w:szCs w:val="30"/>
          <w:lang w:bidi="th-TH"/>
        </w:rPr>
        <w:t>[</w:t>
      </w:r>
      <w:r>
        <w:rPr>
          <w:i/>
        </w:rPr>
        <w:t>Insert figure here — ensure axes labels, units, and legends are readable]</w:t>
      </w:r>
    </w:p>
    <w:p w14:paraId="2A6CCA0E" w14:textId="3911D806" w:rsidR="00C109D7" w:rsidRDefault="00000000" w:rsidP="00C62A23">
      <w:r>
        <w:rPr>
          <w:i/>
          <w:sz w:val="22"/>
        </w:rPr>
        <w:t xml:space="preserve">Source: Author’s calculation based on </w:t>
      </w:r>
      <w:r w:rsidR="00B872D2" w:rsidRPr="00B872D2">
        <w:rPr>
          <w:i/>
          <w:sz w:val="22"/>
        </w:rPr>
        <w:t>[Dataset/Agency], Year.</w:t>
      </w:r>
    </w:p>
    <w:p w14:paraId="337BFF3B" w14:textId="25B26332" w:rsidR="00C109D7" w:rsidRDefault="00000000" w:rsidP="00C62A23">
      <w:r>
        <w:rPr>
          <w:i/>
          <w:sz w:val="22"/>
        </w:rPr>
        <w:t>Note: (Optional) Provide definitions, units, and data treatment notes.</w:t>
      </w:r>
    </w:p>
    <w:p w14:paraId="72B5260E" w14:textId="77777777" w:rsidR="00723228" w:rsidRDefault="00723228" w:rsidP="00C62A23">
      <w:pPr>
        <w:rPr>
          <w:lang w:bidi="th-TH"/>
        </w:rPr>
      </w:pPr>
    </w:p>
    <w:p w14:paraId="2EE0F5AE" w14:textId="77777777" w:rsidR="0050783D" w:rsidRDefault="00000000" w:rsidP="00C62A23">
      <w:pPr>
        <w:pStyle w:val="Heading1"/>
      </w:pPr>
      <w:r>
        <w:t>Conclusions</w:t>
      </w:r>
    </w:p>
    <w:p w14:paraId="6A7D8DE3" w14:textId="77777777" w:rsidR="0050783D" w:rsidRDefault="0050783D" w:rsidP="0050783D">
      <w:pPr>
        <w:rPr>
          <w:lang w:bidi="th-TH"/>
        </w:rPr>
      </w:pPr>
      <w:r>
        <w:t>Text (Times New Roman, 12 pt).</w:t>
      </w:r>
    </w:p>
    <w:p w14:paraId="6D38A206" w14:textId="77777777" w:rsidR="0050783D" w:rsidRPr="0050783D" w:rsidRDefault="0050783D" w:rsidP="0050783D"/>
    <w:p w14:paraId="733D3923" w14:textId="212F4E70" w:rsidR="00C109D7" w:rsidRDefault="00000000" w:rsidP="00C62A23">
      <w:pPr>
        <w:pStyle w:val="Heading1"/>
      </w:pPr>
      <w:r>
        <w:t>Policy Implications</w:t>
      </w:r>
    </w:p>
    <w:p w14:paraId="58820EB1" w14:textId="77777777" w:rsidR="00C109D7" w:rsidRDefault="00000000" w:rsidP="00C62A23">
      <w:r>
        <w:t>Text (Times New Roman, 12 pt).</w:t>
      </w:r>
    </w:p>
    <w:p w14:paraId="76C7778F" w14:textId="77777777" w:rsidR="0050783D" w:rsidRDefault="0050783D" w:rsidP="00C62A23">
      <w:pPr>
        <w:rPr>
          <w:lang w:bidi="th-TH"/>
        </w:rPr>
      </w:pPr>
    </w:p>
    <w:p w14:paraId="107A874D" w14:textId="5E5BF1E1" w:rsidR="00C109D7" w:rsidRDefault="00000000" w:rsidP="00C62A23">
      <w:pPr>
        <w:pStyle w:val="Heading1"/>
        <w:rPr>
          <w:lang w:bidi="th-TH"/>
        </w:rPr>
      </w:pPr>
      <w:r>
        <w:t>Acknowledgements</w:t>
      </w:r>
      <w:r w:rsidR="00723228">
        <w:rPr>
          <w:rFonts w:hint="cs"/>
          <w:cs/>
          <w:lang w:bidi="th-TH"/>
        </w:rPr>
        <w:t xml:space="preserve"> </w:t>
      </w:r>
      <w:r w:rsidR="00723228">
        <w:t>(</w:t>
      </w:r>
      <w:r w:rsidR="001C10DB" w:rsidRPr="001C10DB">
        <w:t>If Applicable</w:t>
      </w:r>
      <w:r w:rsidR="00723228">
        <w:t>)</w:t>
      </w:r>
    </w:p>
    <w:p w14:paraId="47A55722" w14:textId="41DAC1DB" w:rsidR="00C109D7" w:rsidRDefault="00000000" w:rsidP="00C62A23">
      <w:pPr>
        <w:rPr>
          <w:lang w:bidi="th-TH"/>
        </w:rPr>
      </w:pPr>
      <w:r>
        <w:t>Acknowledgements (maximum 50 words).</w:t>
      </w:r>
    </w:p>
    <w:p w14:paraId="2D0C9C1A" w14:textId="41020B78" w:rsidR="00C109D7" w:rsidRDefault="00000000" w:rsidP="00C62A23">
      <w:pPr>
        <w:pStyle w:val="Heading1"/>
      </w:pPr>
      <w:r>
        <w:t>References</w:t>
      </w:r>
    </w:p>
    <w:p w14:paraId="0F5E46FE" w14:textId="09832118" w:rsidR="000E7762" w:rsidRDefault="000E7762" w:rsidP="00C62A23">
      <w:pPr>
        <w:rPr>
          <w:lang w:bidi="th-TH"/>
        </w:rPr>
      </w:pPr>
      <w:r w:rsidRPr="000E7762">
        <w:rPr>
          <w:lang w:bidi="th-TH"/>
        </w:rPr>
        <w:t xml:space="preserve">Text (Times New Roman, </w:t>
      </w:r>
      <w:r w:rsidRPr="000E7762">
        <w:rPr>
          <w:cs/>
          <w:lang w:bidi="th-TH"/>
        </w:rPr>
        <w:t xml:space="preserve">12 </w:t>
      </w:r>
      <w:r w:rsidRPr="000E7762">
        <w:rPr>
          <w:lang w:bidi="th-TH"/>
        </w:rPr>
        <w:t>pt).</w:t>
      </w:r>
    </w:p>
    <w:p w14:paraId="462ED951" w14:textId="77777777" w:rsidR="00CD175A" w:rsidRPr="00CD175A" w:rsidRDefault="00CD175A" w:rsidP="00C62A23">
      <w:pPr>
        <w:rPr>
          <w:rFonts w:cstheme="minorBidi"/>
          <w:cs/>
          <w:lang w:bidi="th-TH"/>
        </w:rPr>
      </w:pPr>
    </w:p>
    <w:p w14:paraId="5462E4E1" w14:textId="77777777" w:rsidR="00AC4D3E" w:rsidRDefault="00AC4D3E" w:rsidP="00C62A23">
      <w:r w:rsidRPr="00AC4D3E">
        <w:t>References must follow AJAE’s modified APA 7th edition style. For guidance, see the journal’s references section and recent issues.</w:t>
      </w:r>
    </w:p>
    <w:p w14:paraId="57CD68BC" w14:textId="01B33E1F" w:rsidR="00C109D7" w:rsidRPr="00F27265" w:rsidRDefault="00000000" w:rsidP="00C62A23">
      <w:pPr>
        <w:rPr>
          <w:b/>
          <w:bCs/>
        </w:rPr>
      </w:pPr>
      <w:r w:rsidRPr="00F27265">
        <w:rPr>
          <w:b/>
          <w:bCs/>
        </w:rPr>
        <w:t xml:space="preserve">Examples (APA </w:t>
      </w:r>
      <w:r w:rsidR="00A00244">
        <w:rPr>
          <w:b/>
          <w:bCs/>
        </w:rPr>
        <w:t>7</w:t>
      </w:r>
      <w:r w:rsidRPr="00F27265">
        <w:rPr>
          <w:b/>
          <w:bCs/>
        </w:rPr>
        <w:t>th edition):</w:t>
      </w:r>
    </w:p>
    <w:p w14:paraId="5563B520" w14:textId="77777777" w:rsidR="00F27265" w:rsidRPr="00F27265" w:rsidRDefault="00000000" w:rsidP="00C62A23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lastRenderedPageBreak/>
        <w:t>Journal article:</w:t>
      </w:r>
      <w:r w:rsidRPr="00F27265">
        <w:rPr>
          <w:rFonts w:eastAsia="Times New Roman"/>
        </w:rPr>
        <w:t xml:space="preserve"> </w:t>
      </w:r>
    </w:p>
    <w:p w14:paraId="56454087" w14:textId="59B461D6" w:rsidR="00AC4D3E" w:rsidRPr="00AC4D3E" w:rsidRDefault="00AC4D3E" w:rsidP="00C62A23">
      <w:pPr>
        <w:ind w:left="720" w:hanging="720"/>
        <w:rPr>
          <w:rFonts w:eastAsia="Times New Roman"/>
        </w:rPr>
      </w:pPr>
      <w:r w:rsidRPr="00AC4D3E">
        <w:rPr>
          <w:rFonts w:eastAsia="Times New Roman"/>
        </w:rPr>
        <w:t xml:space="preserve">Adebayo, T. S. (2020). New insights into export-growth nexus: Wavelet and causality approaches. </w:t>
      </w:r>
      <w:r w:rsidRPr="00AC4D3E">
        <w:rPr>
          <w:rFonts w:eastAsia="Times New Roman"/>
          <w:i/>
          <w:iCs/>
        </w:rPr>
        <w:t>Asian Journal of Economics, Business and Accounting, 15</w:t>
      </w:r>
      <w:r w:rsidRPr="00AC4D3E">
        <w:rPr>
          <w:rFonts w:eastAsia="Times New Roman"/>
        </w:rPr>
        <w:t>(2), 32–44. https://doi.org/10.9734/ajeba/2020/v15i230232</w:t>
      </w:r>
    </w:p>
    <w:p w14:paraId="58909D2F" w14:textId="77777777" w:rsidR="00AC4D3E" w:rsidRPr="00AC4D3E" w:rsidRDefault="00AC4D3E" w:rsidP="00C62A23">
      <w:pPr>
        <w:ind w:left="720" w:hanging="720"/>
        <w:rPr>
          <w:color w:val="000000"/>
          <w:shd w:val="clear" w:color="auto" w:fill="FFFFFF"/>
        </w:rPr>
      </w:pPr>
      <w:r w:rsidRPr="00AC4D3E">
        <w:rPr>
          <w:rStyle w:val="Strong"/>
          <w:color w:val="000000"/>
          <w:shd w:val="clear" w:color="auto" w:fill="FFFFFF"/>
        </w:rPr>
        <w:t>Thai Journal article (Translated):</w:t>
      </w:r>
      <w:r w:rsidRPr="00AC4D3E">
        <w:rPr>
          <w:color w:val="000000"/>
          <w:shd w:val="clear" w:color="auto" w:fill="FFFFFF"/>
        </w:rPr>
        <w:t> </w:t>
      </w:r>
    </w:p>
    <w:p w14:paraId="21486EA3" w14:textId="758A5FF8" w:rsidR="00AC4D3E" w:rsidRPr="00AC4D3E" w:rsidRDefault="00AC4D3E" w:rsidP="00C62A23">
      <w:pPr>
        <w:ind w:left="720" w:hanging="720"/>
        <w:rPr>
          <w:rFonts w:eastAsia="Times New Roman"/>
          <w:b/>
          <w:bCs/>
        </w:rPr>
      </w:pPr>
      <w:r w:rsidRPr="00AC4D3E">
        <w:rPr>
          <w:color w:val="000000"/>
          <w:shd w:val="clear" w:color="auto" w:fill="FFFFFF"/>
        </w:rPr>
        <w:t>Boonmee, S., &amp; Boonrattanakittibhumi, C. (2019). Market mix factors to the decision process, choosing the project type of the People's Bank Loan, the Government Savings Bank, Chumphon. </w:t>
      </w:r>
      <w:r w:rsidRPr="00AC4D3E">
        <w:rPr>
          <w:rStyle w:val="Emphasis"/>
          <w:color w:val="000000"/>
          <w:shd w:val="clear" w:color="auto" w:fill="FFFFFF"/>
        </w:rPr>
        <w:t>Journal of Interdisciplinary Research: Graduate Studies</w:t>
      </w:r>
      <w:r w:rsidRPr="00AC4D3E">
        <w:rPr>
          <w:color w:val="000000"/>
          <w:shd w:val="clear" w:color="auto" w:fill="FFFFFF"/>
        </w:rPr>
        <w:t>, </w:t>
      </w:r>
      <w:r w:rsidRPr="00AC4D3E">
        <w:rPr>
          <w:rStyle w:val="Emphasis"/>
          <w:color w:val="000000"/>
          <w:shd w:val="clear" w:color="auto" w:fill="FFFFFF"/>
        </w:rPr>
        <w:t>8</w:t>
      </w:r>
      <w:r w:rsidRPr="00AC4D3E">
        <w:rPr>
          <w:color w:val="000000"/>
          <w:shd w:val="clear" w:color="auto" w:fill="FFFFFF"/>
        </w:rPr>
        <w:t>(1), 94–100. (in Thai)</w:t>
      </w:r>
    </w:p>
    <w:p w14:paraId="43234711" w14:textId="781A3AA3" w:rsidR="00F27265" w:rsidRPr="00F27265" w:rsidRDefault="00000000" w:rsidP="00C62A23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Working paper:</w:t>
      </w:r>
      <w:r w:rsidRPr="00F27265">
        <w:rPr>
          <w:rFonts w:eastAsia="Times New Roman"/>
        </w:rPr>
        <w:t xml:space="preserve"> </w:t>
      </w:r>
    </w:p>
    <w:p w14:paraId="3B6A1DAF" w14:textId="77777777" w:rsidR="00605D60" w:rsidRPr="00F27265" w:rsidRDefault="00000000" w:rsidP="00C62A23">
      <w:pPr>
        <w:ind w:left="720" w:hanging="720"/>
        <w:rPr>
          <w:rFonts w:eastAsia="Times New Roman"/>
          <w:i/>
          <w:iCs/>
          <w:lang w:bidi="th-TH"/>
        </w:rPr>
      </w:pPr>
      <w:r w:rsidRPr="002A41D3">
        <w:rPr>
          <w:rFonts w:eastAsia="Times New Roman"/>
          <w:lang w:val="de-DE"/>
        </w:rPr>
        <w:t xml:space="preserve">Bernanke, B., Gertler, M., &amp; Gilchrist, S. (1999). </w:t>
      </w:r>
      <w:r w:rsidRPr="00F27265">
        <w:rPr>
          <w:rFonts w:eastAsia="Times New Roman"/>
          <w:i/>
          <w:iCs/>
        </w:rPr>
        <w:t>The financial accelerator in a quantitative business cycle framework</w:t>
      </w:r>
      <w:r w:rsidRPr="00F27265">
        <w:rPr>
          <w:rFonts w:eastAsia="Times New Roman"/>
        </w:rPr>
        <w:t xml:space="preserve"> (NBER Working Paper No. 6455). National Bureau of Economic Research.</w:t>
      </w:r>
    </w:p>
    <w:p w14:paraId="7101997D" w14:textId="77777777" w:rsidR="00F27265" w:rsidRPr="00F27265" w:rsidRDefault="00000000" w:rsidP="00C62A23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Book chapter:</w:t>
      </w:r>
      <w:r w:rsidRPr="00F27265">
        <w:rPr>
          <w:rFonts w:eastAsia="Times New Roman"/>
        </w:rPr>
        <w:t xml:space="preserve"> </w:t>
      </w:r>
    </w:p>
    <w:p w14:paraId="656A4539" w14:textId="77777777" w:rsidR="00605D60" w:rsidRPr="00F27265" w:rsidRDefault="00000000" w:rsidP="00C62A23">
      <w:pPr>
        <w:ind w:left="720" w:hanging="720"/>
        <w:rPr>
          <w:rFonts w:eastAsia="Times New Roman"/>
          <w:lang w:bidi="th-TH"/>
        </w:rPr>
      </w:pPr>
      <w:r w:rsidRPr="00F27265">
        <w:rPr>
          <w:rFonts w:eastAsia="Times New Roman"/>
        </w:rPr>
        <w:t xml:space="preserve">Ayadi, R., </w:t>
      </w:r>
      <w:proofErr w:type="spellStart"/>
      <w:r w:rsidRPr="00F27265">
        <w:rPr>
          <w:rFonts w:eastAsia="Times New Roman"/>
        </w:rPr>
        <w:t>Arbak</w:t>
      </w:r>
      <w:proofErr w:type="spellEnd"/>
      <w:r w:rsidRPr="00F27265">
        <w:rPr>
          <w:rFonts w:eastAsia="Times New Roman"/>
        </w:rPr>
        <w:t xml:space="preserve">, E., Naceur, S. B., &amp; Groen, W. P. D. (2015). Determinants of financial development across the Mediterranean. In R. Ayadi, M. Dabrowski, &amp; L. D. Wulf (Eds.), </w:t>
      </w:r>
      <w:r w:rsidRPr="00F27265">
        <w:rPr>
          <w:rFonts w:eastAsia="Times New Roman"/>
          <w:i/>
          <w:iCs/>
        </w:rPr>
        <w:t>Economic and social development of the southern and eastern Mediterranean countries</w:t>
      </w:r>
      <w:r w:rsidRPr="00F27265">
        <w:rPr>
          <w:rFonts w:eastAsia="Times New Roman"/>
        </w:rPr>
        <w:t xml:space="preserve"> (pp. 159–181). Springer International Publishing.</w:t>
      </w:r>
    </w:p>
    <w:p w14:paraId="38EE7C71" w14:textId="77777777" w:rsidR="00F27265" w:rsidRPr="00F27265" w:rsidRDefault="00000000" w:rsidP="00C62A23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Book:</w:t>
      </w:r>
      <w:r w:rsidRPr="00F27265">
        <w:rPr>
          <w:rFonts w:eastAsia="Times New Roman"/>
        </w:rPr>
        <w:t xml:space="preserve"> </w:t>
      </w:r>
    </w:p>
    <w:p w14:paraId="3028C1A2" w14:textId="77777777" w:rsidR="00605D60" w:rsidRPr="00F27265" w:rsidRDefault="00000000" w:rsidP="00C62A23">
      <w:pPr>
        <w:ind w:left="720" w:hanging="720"/>
        <w:rPr>
          <w:rFonts w:eastAsia="Times New Roman"/>
          <w:lang w:bidi="th-TH"/>
        </w:rPr>
      </w:pPr>
      <w:r w:rsidRPr="00F27265">
        <w:rPr>
          <w:rFonts w:eastAsia="Times New Roman"/>
        </w:rPr>
        <w:t xml:space="preserve">Todaro, M. P., &amp; Smith, S. C. (2020). </w:t>
      </w:r>
      <w:r w:rsidRPr="00F27265">
        <w:rPr>
          <w:rFonts w:eastAsia="Times New Roman"/>
          <w:i/>
          <w:iCs/>
        </w:rPr>
        <w:t>Economic development</w:t>
      </w:r>
      <w:r w:rsidRPr="00F27265">
        <w:rPr>
          <w:rFonts w:eastAsia="Times New Roman"/>
        </w:rPr>
        <w:t xml:space="preserve"> (13th ed.). </w:t>
      </w:r>
    </w:p>
    <w:p w14:paraId="47CB8D58" w14:textId="0DB0C624" w:rsidR="00723228" w:rsidRPr="00F27265" w:rsidRDefault="00000000" w:rsidP="00C62A23">
      <w:pPr>
        <w:ind w:left="720"/>
        <w:rPr>
          <w:rFonts w:eastAsia="MS Mincho"/>
        </w:rPr>
      </w:pPr>
      <w:r w:rsidRPr="00F27265">
        <w:rPr>
          <w:rFonts w:eastAsia="Times New Roman"/>
        </w:rPr>
        <w:t>Pearson.</w:t>
      </w:r>
    </w:p>
    <w:p w14:paraId="52850BD1" w14:textId="691F5C01" w:rsidR="00C109D7" w:rsidRDefault="00000000" w:rsidP="00C62A23">
      <w:pPr>
        <w:pStyle w:val="Heading1"/>
      </w:pPr>
      <w:r>
        <w:t>Appendices (</w:t>
      </w:r>
      <w:r w:rsidR="001C10DB" w:rsidRPr="001C10DB">
        <w:t>If Applicable</w:t>
      </w:r>
      <w:r>
        <w:t>)</w:t>
      </w:r>
    </w:p>
    <w:p w14:paraId="286CCDCA" w14:textId="44C03991" w:rsidR="000E7762" w:rsidRDefault="000E7762" w:rsidP="00C62A23">
      <w:pPr>
        <w:rPr>
          <w:rFonts w:cstheme="minorBidi"/>
          <w:lang w:bidi="th-TH"/>
        </w:rPr>
      </w:pPr>
      <w:r w:rsidRPr="000E7762">
        <w:rPr>
          <w:lang w:bidi="th-TH"/>
        </w:rPr>
        <w:t xml:space="preserve">Text (Times New Roman, </w:t>
      </w:r>
      <w:r w:rsidRPr="000E7762">
        <w:rPr>
          <w:cs/>
          <w:lang w:bidi="th-TH"/>
        </w:rPr>
        <w:t xml:space="preserve">12 </w:t>
      </w:r>
      <w:r w:rsidRPr="000E7762">
        <w:rPr>
          <w:lang w:bidi="th-TH"/>
        </w:rPr>
        <w:t>pt).</w:t>
      </w:r>
    </w:p>
    <w:p w14:paraId="17DEF5A2" w14:textId="77777777" w:rsidR="000E7762" w:rsidRPr="000E7762" w:rsidRDefault="000E7762" w:rsidP="00C62A23">
      <w:pPr>
        <w:rPr>
          <w:rFonts w:cstheme="minorBidi"/>
          <w:lang w:bidi="th-TH"/>
        </w:rPr>
      </w:pPr>
    </w:p>
    <w:p w14:paraId="55234058" w14:textId="7B69E46B" w:rsidR="00C109D7" w:rsidRDefault="00000000" w:rsidP="00C62A23">
      <w:r>
        <w:t>Appendices should appear after the references and be numbered using Arabic numerals.</w:t>
      </w:r>
    </w:p>
    <w:sectPr w:rsidR="00C109D7" w:rsidSect="00034616">
      <w:footerReference w:type="default" r:id="rId9"/>
      <w:pgSz w:w="11909" w:h="16834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2562" w14:textId="77777777" w:rsidR="00FD3F7E" w:rsidRDefault="00FD3F7E">
      <w:pPr>
        <w:spacing w:line="240" w:lineRule="auto"/>
      </w:pPr>
      <w:r>
        <w:separator/>
      </w:r>
    </w:p>
  </w:endnote>
  <w:endnote w:type="continuationSeparator" w:id="0">
    <w:p w14:paraId="16FED204" w14:textId="77777777" w:rsidR="00FD3F7E" w:rsidRDefault="00FD3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02FF" w14:textId="77777777" w:rsidR="00C109D7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7410" w14:textId="77777777" w:rsidR="00FD3F7E" w:rsidRDefault="00FD3F7E">
      <w:pPr>
        <w:spacing w:line="240" w:lineRule="auto"/>
      </w:pPr>
      <w:r>
        <w:separator/>
      </w:r>
    </w:p>
  </w:footnote>
  <w:footnote w:type="continuationSeparator" w:id="0">
    <w:p w14:paraId="018050F4" w14:textId="77777777" w:rsidR="00FD3F7E" w:rsidRDefault="00FD3F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81674"/>
    <w:multiLevelType w:val="multilevel"/>
    <w:tmpl w:val="62A61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1"/>
      <w:suff w:val="space"/>
      <w:lvlText w:val="%3."/>
      <w:lvlJc w:val="left"/>
      <w:pPr>
        <w:ind w:left="369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377F1F"/>
    <w:multiLevelType w:val="multilevel"/>
    <w:tmpl w:val="21F4D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0"/>
      </w:pPr>
      <w:rPr>
        <w:rFonts w:ascii="Times New Roman" w:hAnsi="Times New Roman" w:cs="Times New Roman" w:hint="default"/>
        <w:bCs/>
        <w:iCs w:val="0"/>
        <w:sz w:val="24"/>
        <w:szCs w:val="24"/>
      </w:rPr>
    </w:lvl>
    <w:lvl w:ilvl="2">
      <w:start w:val="1"/>
      <w:numFmt w:val="decimal"/>
      <w:suff w:val="space"/>
      <w:lvlText w:val="%3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4339CE"/>
    <w:multiLevelType w:val="hybridMultilevel"/>
    <w:tmpl w:val="27D2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10BA4"/>
    <w:multiLevelType w:val="multilevel"/>
    <w:tmpl w:val="AAFE43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1.1"/>
      <w:lvlJc w:val="left"/>
      <w:pPr>
        <w:ind w:left="0" w:firstLine="0"/>
      </w:pPr>
      <w:rPr>
        <w:rFonts w:ascii="Times New Roman" w:hAnsi="Times New Roman" w:cs="Times New Roman" w:hint="default"/>
        <w:bCs/>
        <w:iCs w:val="0"/>
        <w:sz w:val="24"/>
        <w:szCs w:val="24"/>
      </w:rPr>
    </w:lvl>
    <w:lvl w:ilvl="2">
      <w:start w:val="1"/>
      <w:numFmt w:val="decimal"/>
      <w:pStyle w:val="Heading3"/>
      <w:suff w:val="space"/>
      <w:lvlText w:val="%3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078268">
    <w:abstractNumId w:val="8"/>
  </w:num>
  <w:num w:numId="2" w16cid:durableId="1166749946">
    <w:abstractNumId w:val="6"/>
  </w:num>
  <w:num w:numId="3" w16cid:durableId="1146707291">
    <w:abstractNumId w:val="5"/>
  </w:num>
  <w:num w:numId="4" w16cid:durableId="839856470">
    <w:abstractNumId w:val="4"/>
  </w:num>
  <w:num w:numId="5" w16cid:durableId="2099402734">
    <w:abstractNumId w:val="7"/>
  </w:num>
  <w:num w:numId="6" w16cid:durableId="744843634">
    <w:abstractNumId w:val="3"/>
  </w:num>
  <w:num w:numId="7" w16cid:durableId="2035229308">
    <w:abstractNumId w:val="2"/>
  </w:num>
  <w:num w:numId="8" w16cid:durableId="217280532">
    <w:abstractNumId w:val="1"/>
  </w:num>
  <w:num w:numId="9" w16cid:durableId="316688511">
    <w:abstractNumId w:val="0"/>
  </w:num>
  <w:num w:numId="10" w16cid:durableId="1123839700">
    <w:abstractNumId w:val="11"/>
  </w:num>
  <w:num w:numId="11" w16cid:durableId="1312369853">
    <w:abstractNumId w:val="9"/>
  </w:num>
  <w:num w:numId="12" w16cid:durableId="162092077">
    <w:abstractNumId w:val="10"/>
  </w:num>
  <w:num w:numId="13" w16cid:durableId="1146162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141"/>
    <w:rsid w:val="00034616"/>
    <w:rsid w:val="00051A5C"/>
    <w:rsid w:val="0006063C"/>
    <w:rsid w:val="000636BA"/>
    <w:rsid w:val="000E7762"/>
    <w:rsid w:val="0015074B"/>
    <w:rsid w:val="00195F43"/>
    <w:rsid w:val="001C10DB"/>
    <w:rsid w:val="001D55C4"/>
    <w:rsid w:val="001F6D19"/>
    <w:rsid w:val="00201392"/>
    <w:rsid w:val="002115F2"/>
    <w:rsid w:val="00230F53"/>
    <w:rsid w:val="0029639D"/>
    <w:rsid w:val="002A41D3"/>
    <w:rsid w:val="0032666F"/>
    <w:rsid w:val="00326F90"/>
    <w:rsid w:val="00347D72"/>
    <w:rsid w:val="003D7393"/>
    <w:rsid w:val="00406F37"/>
    <w:rsid w:val="00453455"/>
    <w:rsid w:val="0050783D"/>
    <w:rsid w:val="00545602"/>
    <w:rsid w:val="005F08FE"/>
    <w:rsid w:val="00605D60"/>
    <w:rsid w:val="006903A6"/>
    <w:rsid w:val="0069566B"/>
    <w:rsid w:val="006D1741"/>
    <w:rsid w:val="00723228"/>
    <w:rsid w:val="00723DE4"/>
    <w:rsid w:val="00746031"/>
    <w:rsid w:val="007F14D8"/>
    <w:rsid w:val="00A00244"/>
    <w:rsid w:val="00A13B83"/>
    <w:rsid w:val="00A5096A"/>
    <w:rsid w:val="00A7700E"/>
    <w:rsid w:val="00AA1D8D"/>
    <w:rsid w:val="00AC4D3E"/>
    <w:rsid w:val="00B427CF"/>
    <w:rsid w:val="00B47730"/>
    <w:rsid w:val="00B54080"/>
    <w:rsid w:val="00B872D2"/>
    <w:rsid w:val="00C109D7"/>
    <w:rsid w:val="00C62A23"/>
    <w:rsid w:val="00C656F1"/>
    <w:rsid w:val="00CB0664"/>
    <w:rsid w:val="00CB753C"/>
    <w:rsid w:val="00CD175A"/>
    <w:rsid w:val="00CE3220"/>
    <w:rsid w:val="00D2553E"/>
    <w:rsid w:val="00D41C63"/>
    <w:rsid w:val="00DA5848"/>
    <w:rsid w:val="00E9321C"/>
    <w:rsid w:val="00ED7F47"/>
    <w:rsid w:val="00F27265"/>
    <w:rsid w:val="00FC693F"/>
    <w:rsid w:val="00FD3F7E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B8C20"/>
  <w14:defaultImageDpi w14:val="300"/>
  <w15:docId w15:val="{D2FE3445-EECA-F54B-AAD2-6940A26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43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455"/>
    <w:pPr>
      <w:keepNext/>
      <w:keepLines/>
      <w:numPr>
        <w:ilvl w:val="2"/>
        <w:numId w:val="11"/>
      </w:numPr>
      <w:spacing w:before="240" w:after="120"/>
      <w:ind w:left="0"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F43"/>
    <w:pPr>
      <w:keepNext/>
      <w:keepLines/>
      <w:numPr>
        <w:ilvl w:val="1"/>
        <w:numId w:val="12"/>
      </w:numPr>
      <w:spacing w:before="12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6BA"/>
    <w:pPr>
      <w:keepNext/>
      <w:keepLines/>
      <w:numPr>
        <w:ilvl w:val="2"/>
        <w:numId w:val="13"/>
      </w:numPr>
      <w:ind w:firstLine="907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3455"/>
    <w:rPr>
      <w:rFonts w:ascii="Times New Roman" w:eastAsiaTheme="majorEastAsia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F4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36BA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42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Waleerat SUPHANNACHART</cp:lastModifiedBy>
  <cp:revision>4</cp:revision>
  <dcterms:created xsi:type="dcterms:W3CDTF">2026-01-29T08:34:00Z</dcterms:created>
  <dcterms:modified xsi:type="dcterms:W3CDTF">2026-01-31T00:35:00Z</dcterms:modified>
  <cp:category/>
</cp:coreProperties>
</file>